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6638" w14:textId="77777777" w:rsidR="004B3C5E" w:rsidRPr="004B3C5E" w:rsidRDefault="004B3C5E" w:rsidP="004B3C5E">
      <w:pPr>
        <w:adjustRightInd w:val="0"/>
        <w:snapToGrid w:val="0"/>
        <w:spacing w:line="600" w:lineRule="exact"/>
        <w:rPr>
          <w:rFonts w:cs="Times New Roman"/>
          <w:color w:val="000000"/>
          <w:sz w:val="24"/>
        </w:rPr>
      </w:pPr>
      <w:r w:rsidRPr="004B3C5E">
        <w:rPr>
          <w:rFonts w:eastAsia="黑体" w:cs="Times New Roman" w:hint="eastAsia"/>
          <w:color w:val="000000"/>
          <w:sz w:val="32"/>
          <w:szCs w:val="28"/>
        </w:rPr>
        <w:t>附件</w:t>
      </w:r>
      <w:r w:rsidRPr="004B3C5E">
        <w:rPr>
          <w:rFonts w:eastAsia="黑体" w:cs="Times New Roman" w:hint="eastAsia"/>
          <w:color w:val="000000"/>
          <w:sz w:val="32"/>
          <w:szCs w:val="28"/>
        </w:rPr>
        <w:t>1</w:t>
      </w:r>
      <w:r w:rsidRPr="004B3C5E">
        <w:rPr>
          <w:rFonts w:eastAsia="黑体" w:cs="Times New Roman" w:hint="eastAsia"/>
          <w:color w:val="000000"/>
          <w:sz w:val="32"/>
          <w:szCs w:val="28"/>
        </w:rPr>
        <w:t>：</w:t>
      </w:r>
    </w:p>
    <w:p w14:paraId="1DFC3C00" w14:textId="77777777" w:rsidR="004B3C5E" w:rsidRPr="004B3C5E" w:rsidRDefault="004B3C5E" w:rsidP="004B3C5E">
      <w:pPr>
        <w:adjustRightInd w:val="0"/>
        <w:snapToGrid w:val="0"/>
        <w:spacing w:line="600" w:lineRule="exact"/>
        <w:jc w:val="center"/>
        <w:rPr>
          <w:rFonts w:eastAsia="方正小标宋简体" w:cs="Times New Roman"/>
          <w:color w:val="000000"/>
          <w:sz w:val="36"/>
          <w:szCs w:val="32"/>
        </w:rPr>
      </w:pPr>
      <w:r w:rsidRPr="004B3C5E">
        <w:rPr>
          <w:rFonts w:eastAsia="方正小标宋简体" w:cs="Times New Roman" w:hint="eastAsia"/>
          <w:color w:val="000000"/>
          <w:sz w:val="36"/>
          <w:szCs w:val="32"/>
        </w:rPr>
        <w:t>杭州电子科技大学</w:t>
      </w:r>
    </w:p>
    <w:p w14:paraId="709694AE" w14:textId="77777777" w:rsidR="004B3C5E" w:rsidRPr="004B3C5E" w:rsidRDefault="004B3C5E" w:rsidP="004B3C5E">
      <w:pPr>
        <w:adjustRightInd w:val="0"/>
        <w:snapToGrid w:val="0"/>
        <w:spacing w:line="600" w:lineRule="exact"/>
        <w:jc w:val="center"/>
        <w:rPr>
          <w:rFonts w:eastAsia="方正小标宋简体" w:cs="Times New Roman"/>
          <w:color w:val="000000"/>
          <w:sz w:val="36"/>
          <w:szCs w:val="32"/>
        </w:rPr>
      </w:pPr>
      <w:r w:rsidRPr="004B3C5E">
        <w:rPr>
          <w:rFonts w:eastAsia="方正小标宋简体" w:cs="Times New Roman" w:hint="eastAsia"/>
          <w:color w:val="000000"/>
          <w:sz w:val="36"/>
          <w:szCs w:val="32"/>
        </w:rPr>
        <w:t>大型仪器设备开放共享绩效评价评分标准</w:t>
      </w:r>
    </w:p>
    <w:tbl>
      <w:tblPr>
        <w:tblW w:w="12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420"/>
        <w:gridCol w:w="5160"/>
        <w:gridCol w:w="1480"/>
        <w:gridCol w:w="3760"/>
      </w:tblGrid>
      <w:tr w:rsidR="004B3C5E" w:rsidRPr="004B3C5E" w14:paraId="51294247" w14:textId="77777777" w:rsidTr="004B3C5E">
        <w:trPr>
          <w:trHeight w:val="600"/>
        </w:trPr>
        <w:tc>
          <w:tcPr>
            <w:tcW w:w="960" w:type="dxa"/>
            <w:shd w:val="clear" w:color="000000" w:fill="FFFFFF"/>
            <w:vAlign w:val="center"/>
            <w:hideMark/>
          </w:tcPr>
          <w:p w14:paraId="50323654" w14:textId="77777777" w:rsidR="004B3C5E" w:rsidRPr="004B3C5E" w:rsidRDefault="004B3C5E" w:rsidP="004B3C5E">
            <w:pPr>
              <w:widowControl/>
              <w:ind w:firstLineChars="100" w:firstLine="181"/>
              <w:jc w:val="center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序号</w:t>
            </w:r>
          </w:p>
        </w:tc>
        <w:tc>
          <w:tcPr>
            <w:tcW w:w="1420" w:type="dxa"/>
            <w:shd w:val="clear" w:color="000000" w:fill="FFFFFF"/>
            <w:vAlign w:val="center"/>
            <w:hideMark/>
          </w:tcPr>
          <w:p w14:paraId="315B0AC2" w14:textId="77777777" w:rsidR="004B3C5E" w:rsidRPr="004B3C5E" w:rsidRDefault="004B3C5E" w:rsidP="004B3C5E">
            <w:pPr>
              <w:widowControl/>
              <w:ind w:firstLineChars="100" w:firstLine="181"/>
              <w:jc w:val="center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指标</w:t>
            </w: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0CB890F1" w14:textId="77777777" w:rsidR="004B3C5E" w:rsidRPr="004B3C5E" w:rsidRDefault="004B3C5E" w:rsidP="004B3C5E">
            <w:pPr>
              <w:widowControl/>
              <w:ind w:firstLineChars="100" w:firstLine="181"/>
              <w:jc w:val="center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评分标准</w:t>
            </w:r>
          </w:p>
        </w:tc>
        <w:tc>
          <w:tcPr>
            <w:tcW w:w="1480" w:type="dxa"/>
            <w:shd w:val="clear" w:color="000000" w:fill="FFFFFF"/>
            <w:vAlign w:val="center"/>
            <w:hideMark/>
          </w:tcPr>
          <w:p w14:paraId="1F9D2693" w14:textId="77777777" w:rsidR="004B3C5E" w:rsidRPr="004B3C5E" w:rsidRDefault="004B3C5E" w:rsidP="004B3C5E">
            <w:pPr>
              <w:widowControl/>
              <w:ind w:firstLineChars="100" w:firstLine="181"/>
              <w:jc w:val="center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得分</w:t>
            </w: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6ADD91A4" w14:textId="77777777" w:rsidR="004B3C5E" w:rsidRPr="004B3C5E" w:rsidRDefault="004B3C5E" w:rsidP="004B3C5E">
            <w:pPr>
              <w:widowControl/>
              <w:ind w:firstLineChars="100" w:firstLine="181"/>
              <w:jc w:val="center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说明</w:t>
            </w:r>
          </w:p>
        </w:tc>
      </w:tr>
      <w:tr w:rsidR="004B3C5E" w:rsidRPr="004B3C5E" w14:paraId="0B6A21C7" w14:textId="77777777" w:rsidTr="004B3C5E">
        <w:trPr>
          <w:trHeight w:val="600"/>
        </w:trPr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14:paraId="36E087D1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362415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1</w:t>
            </w:r>
          </w:p>
        </w:tc>
        <w:tc>
          <w:tcPr>
            <w:tcW w:w="1420" w:type="dxa"/>
            <w:vMerge w:val="restart"/>
            <w:shd w:val="clear" w:color="000000" w:fill="FFFFFF"/>
            <w:vAlign w:val="center"/>
            <w:hideMark/>
          </w:tcPr>
          <w:p w14:paraId="5EC73796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大型仪器设备入网率与数据推送完备性（10分）</w:t>
            </w: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1BAC6D74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 xml:space="preserve">A. </w:t>
            </w:r>
            <w:r w:rsidRPr="004B3C5E">
              <w:rPr>
                <w:rFonts w:ascii="宋体" w:hAnsi="宋体" w:cs="Segoe UI" w:hint="eastAsia"/>
                <w:b/>
                <w:bCs/>
                <w:color w:val="0F1115"/>
                <w:kern w:val="0"/>
                <w:sz w:val="18"/>
                <w:szCs w:val="18"/>
              </w:rPr>
              <w:t>校大仪平台数据完备性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（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6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分）：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100%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6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≥80%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3-5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分；＜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80%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0-2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分。</w:t>
            </w:r>
          </w:p>
        </w:tc>
        <w:tc>
          <w:tcPr>
            <w:tcW w:w="1480" w:type="dxa"/>
            <w:vMerge w:val="restart"/>
            <w:shd w:val="clear" w:color="000000" w:fill="FFFFFF"/>
            <w:vAlign w:val="center"/>
            <w:hideMark/>
          </w:tcPr>
          <w:p w14:paraId="40EFCD90" w14:textId="77777777" w:rsidR="004B3C5E" w:rsidRPr="004B3C5E" w:rsidRDefault="004B3C5E" w:rsidP="00E61E52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0-10</w:t>
            </w: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4AADDFA9" w14:textId="15BB2B81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bookmarkStart w:id="0" w:name="OLE_LINK7"/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A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项由</w:t>
            </w:r>
            <w:bookmarkEnd w:id="0"/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平台直接提取。</w:t>
            </w:r>
          </w:p>
        </w:tc>
      </w:tr>
      <w:tr w:rsidR="004B3C5E" w:rsidRPr="004B3C5E" w14:paraId="0CFEE9B8" w14:textId="77777777" w:rsidTr="004B3C5E">
        <w:trPr>
          <w:trHeight w:val="600"/>
        </w:trPr>
        <w:tc>
          <w:tcPr>
            <w:tcW w:w="960" w:type="dxa"/>
            <w:vMerge/>
            <w:vAlign w:val="center"/>
            <w:hideMark/>
          </w:tcPr>
          <w:p w14:paraId="019E786F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377EE316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19DA95A4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 xml:space="preserve">B. </w:t>
            </w:r>
            <w:r w:rsidRPr="004B3C5E">
              <w:rPr>
                <w:rFonts w:ascii="宋体" w:hAnsi="宋体" w:cs="Segoe UI" w:hint="eastAsia"/>
                <w:b/>
                <w:bCs/>
                <w:color w:val="0F1115"/>
                <w:kern w:val="0"/>
                <w:sz w:val="18"/>
                <w:szCs w:val="18"/>
              </w:rPr>
              <w:t>传感器安装率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（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4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分）：应装大仪安装率100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%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4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90%-99%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2-3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分；＜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90%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0-1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分。</w:t>
            </w:r>
          </w:p>
        </w:tc>
        <w:tc>
          <w:tcPr>
            <w:tcW w:w="1480" w:type="dxa"/>
            <w:vMerge/>
            <w:vAlign w:val="center"/>
            <w:hideMark/>
          </w:tcPr>
          <w:p w14:paraId="71AB80ED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5B7E07D2" w14:textId="596810A0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B项“传感器安装率”指已安装有效运行监测传感器的大</w:t>
            </w:r>
            <w:proofErr w:type="gramStart"/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仪数量</w:t>
            </w:r>
            <w:proofErr w:type="gramEnd"/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占应装大仪总数（原值≥30万元）的百分比。</w:t>
            </w:r>
            <w:r w:rsidR="000039D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平台直接提取。</w:t>
            </w:r>
          </w:p>
        </w:tc>
      </w:tr>
      <w:tr w:rsidR="004B3C5E" w:rsidRPr="004B3C5E" w14:paraId="78248A90" w14:textId="77777777" w:rsidTr="004B3C5E">
        <w:trPr>
          <w:trHeight w:val="600"/>
        </w:trPr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14:paraId="2A58F6EF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362415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</w:t>
            </w:r>
          </w:p>
        </w:tc>
        <w:tc>
          <w:tcPr>
            <w:tcW w:w="1420" w:type="dxa"/>
            <w:vMerge w:val="restart"/>
            <w:shd w:val="clear" w:color="000000" w:fill="FFFFFF"/>
            <w:vAlign w:val="center"/>
            <w:hideMark/>
          </w:tcPr>
          <w:p w14:paraId="3206066B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已开放原值30万元及以上仪器年平均运行机时（30分）</w:t>
            </w: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2C30F750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 xml:space="preserve">A. </w:t>
            </w:r>
            <w:r w:rsidRPr="004B3C5E">
              <w:rPr>
                <w:rFonts w:ascii="宋体" w:hAnsi="宋体" w:cs="Segoe UI" w:hint="eastAsia"/>
                <w:b/>
                <w:bCs/>
                <w:color w:val="0F1115"/>
                <w:kern w:val="0"/>
                <w:sz w:val="18"/>
                <w:szCs w:val="18"/>
              </w:rPr>
              <w:t>平均运行机时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（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分）：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≥1600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小时得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500-1599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小时按比例得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7-19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分；＜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500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小时得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0-7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分。</w:t>
            </w:r>
          </w:p>
        </w:tc>
        <w:tc>
          <w:tcPr>
            <w:tcW w:w="1480" w:type="dxa"/>
            <w:vMerge w:val="restart"/>
            <w:shd w:val="clear" w:color="000000" w:fill="FFFFFF"/>
            <w:vAlign w:val="center"/>
            <w:hideMark/>
          </w:tcPr>
          <w:p w14:paraId="6D8C73A1" w14:textId="77777777" w:rsidR="004B3C5E" w:rsidRPr="004B3C5E" w:rsidRDefault="004B3C5E" w:rsidP="00E61E52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0-30</w:t>
            </w: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403CD0D6" w14:textId="789F230A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A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项机时以传感器数据或附件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佐证为准。</w:t>
            </w:r>
          </w:p>
        </w:tc>
      </w:tr>
      <w:tr w:rsidR="004B3C5E" w:rsidRPr="004B3C5E" w14:paraId="31ACF76D" w14:textId="77777777" w:rsidTr="004B3C5E">
        <w:trPr>
          <w:trHeight w:val="600"/>
        </w:trPr>
        <w:tc>
          <w:tcPr>
            <w:tcW w:w="960" w:type="dxa"/>
            <w:vMerge/>
            <w:vAlign w:val="center"/>
            <w:hideMark/>
          </w:tcPr>
          <w:p w14:paraId="2CE4BAF0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5DE45025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1AE375CF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 xml:space="preserve">B. </w:t>
            </w:r>
            <w:r w:rsidRPr="004B3C5E">
              <w:rPr>
                <w:rFonts w:ascii="宋体" w:hAnsi="宋体" w:cs="Segoe UI" w:hint="eastAsia"/>
                <w:b/>
                <w:bCs/>
                <w:color w:val="0F1115"/>
                <w:kern w:val="0"/>
                <w:sz w:val="18"/>
                <w:szCs w:val="18"/>
              </w:rPr>
              <w:t>长周期未开机管理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（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10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分）：无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90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天未开机大仪得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10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分；有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90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天未开机但无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180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天未开机得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6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分；有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180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天未开机仪器，每台扣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分，扣完为止。</w:t>
            </w:r>
          </w:p>
        </w:tc>
        <w:tc>
          <w:tcPr>
            <w:tcW w:w="1480" w:type="dxa"/>
            <w:vMerge/>
            <w:vAlign w:val="center"/>
            <w:hideMark/>
          </w:tcPr>
          <w:p w14:paraId="232B3BED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4CA6AFA4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B项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 xml:space="preserve"> 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以大仪运行通报为准</w:t>
            </w:r>
          </w:p>
        </w:tc>
      </w:tr>
      <w:tr w:rsidR="004B3C5E" w:rsidRPr="004B3C5E" w14:paraId="5FEBF04F" w14:textId="77777777" w:rsidTr="004B3C5E">
        <w:trPr>
          <w:trHeight w:val="600"/>
        </w:trPr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14:paraId="539CEA10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362415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3</w:t>
            </w:r>
          </w:p>
        </w:tc>
        <w:tc>
          <w:tcPr>
            <w:tcW w:w="1420" w:type="dxa"/>
            <w:vMerge w:val="restart"/>
            <w:shd w:val="clear" w:color="000000" w:fill="FFFFFF"/>
            <w:vAlign w:val="center"/>
            <w:hideMark/>
          </w:tcPr>
          <w:p w14:paraId="45CC3D02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年平均对外服务机时与年平均运行机时的比值（15分）</w:t>
            </w: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474D3D5C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A. 对外服务机时占比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（10分）：≥20%得10分；10%-19%得5-9分；</w:t>
            </w:r>
            <w:bookmarkStart w:id="1" w:name="OLE_LINK10"/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＜10%得</w:t>
            </w:r>
            <w:bookmarkEnd w:id="1"/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0-4分。</w:t>
            </w:r>
          </w:p>
        </w:tc>
        <w:tc>
          <w:tcPr>
            <w:tcW w:w="1480" w:type="dxa"/>
            <w:vMerge w:val="restart"/>
            <w:shd w:val="clear" w:color="000000" w:fill="FFFFFF"/>
            <w:vAlign w:val="center"/>
            <w:hideMark/>
          </w:tcPr>
          <w:p w14:paraId="7937BEC5" w14:textId="77777777" w:rsidR="004B3C5E" w:rsidRPr="004B3C5E" w:rsidRDefault="004B3C5E" w:rsidP="00E61E52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0-15</w:t>
            </w: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6A9E8F4A" w14:textId="7254997C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bookmarkStart w:id="2" w:name="OLE_LINK11"/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A</w:t>
            </w:r>
            <w:proofErr w:type="gramStart"/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项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占比</w:t>
            </w:r>
            <w:proofErr w:type="gramEnd"/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计算基于附件2数据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，</w:t>
            </w:r>
            <w:bookmarkEnd w:id="2"/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对外服务机时指</w:t>
            </w:r>
            <w:r w:rsidRPr="004B3C5E">
              <w:rPr>
                <w:rFonts w:ascii="宋体" w:hAnsi="宋体" w:cs="宋体" w:hint="eastAsia"/>
                <w:color w:val="0F1115"/>
                <w:kern w:val="0"/>
                <w:sz w:val="18"/>
                <w:szCs w:val="18"/>
              </w:rPr>
              <w:t>除机组使用外对校内外其他用户服务的时间占总使用时间的百分比。</w:t>
            </w:r>
          </w:p>
        </w:tc>
      </w:tr>
      <w:tr w:rsidR="004B3C5E" w:rsidRPr="004B3C5E" w14:paraId="36E9FF77" w14:textId="77777777" w:rsidTr="004B3C5E">
        <w:trPr>
          <w:trHeight w:val="600"/>
        </w:trPr>
        <w:tc>
          <w:tcPr>
            <w:tcW w:w="960" w:type="dxa"/>
            <w:vMerge/>
            <w:vAlign w:val="center"/>
            <w:hideMark/>
          </w:tcPr>
          <w:p w14:paraId="796EEC26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2F666BC3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0740D85B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B. 服务记录数据量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（5分）：所有对外服务均在平台有完整、规范的预约、收费、记录闭环，数据饱满，得5分；记录不全、缺失较多，视情况得0-4分。</w:t>
            </w:r>
          </w:p>
        </w:tc>
        <w:tc>
          <w:tcPr>
            <w:tcW w:w="1480" w:type="dxa"/>
            <w:vMerge/>
            <w:vAlign w:val="center"/>
            <w:hideMark/>
          </w:tcPr>
          <w:p w14:paraId="5DB8DD98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1819F573" w14:textId="4E1336C7" w:rsidR="004B3C5E" w:rsidRPr="004B3C5E" w:rsidRDefault="000039DE" w:rsidP="00E61E52">
            <w:pPr>
              <w:widowControl/>
              <w:jc w:val="left"/>
              <w:rPr>
                <w:rFonts w:ascii="宋体" w:hAnsi="宋体" w:cs="宋体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A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项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基于附件2</w:t>
            </w:r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对外服务情况登记数据。</w:t>
            </w:r>
          </w:p>
        </w:tc>
      </w:tr>
      <w:tr w:rsidR="004B3C5E" w:rsidRPr="004B3C5E" w14:paraId="5319ADF2" w14:textId="77777777" w:rsidTr="004B3C5E">
        <w:trPr>
          <w:trHeight w:val="600"/>
        </w:trPr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14:paraId="49FA4508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362415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4</w:t>
            </w:r>
          </w:p>
        </w:tc>
        <w:tc>
          <w:tcPr>
            <w:tcW w:w="1420" w:type="dxa"/>
            <w:vMerge w:val="restart"/>
            <w:shd w:val="clear" w:color="000000" w:fill="FFFFFF"/>
            <w:vAlign w:val="center"/>
            <w:hideMark/>
          </w:tcPr>
          <w:p w14:paraId="213724B7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开放共享服务收入（10分）</w:t>
            </w: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5B884E08" w14:textId="1588B1D6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 xml:space="preserve">A. </w:t>
            </w:r>
            <w:r w:rsidRPr="004B3C5E">
              <w:rPr>
                <w:rFonts w:ascii="宋体" w:hAnsi="宋体" w:cs="Segoe UI" w:hint="eastAsia"/>
                <w:b/>
                <w:bCs/>
                <w:color w:val="0F1115"/>
                <w:kern w:val="0"/>
                <w:sz w:val="18"/>
                <w:szCs w:val="18"/>
              </w:rPr>
              <w:t>平台收入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（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6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分）：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大仪平台</w:t>
            </w:r>
            <w:r w:rsidR="000039D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收入全校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前</w:t>
            </w:r>
            <w:r w:rsidR="000039D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，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6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分，</w:t>
            </w:r>
            <w:r w:rsidR="000039D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%-</w:t>
            </w:r>
            <w:r w:rsidR="000039D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50</w:t>
            </w:r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，得3</w:t>
            </w:r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-5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分，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＜</w:t>
            </w:r>
            <w:r w:rsidR="000039D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5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0%得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-2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。</w:t>
            </w:r>
          </w:p>
        </w:tc>
        <w:tc>
          <w:tcPr>
            <w:tcW w:w="1480" w:type="dxa"/>
            <w:vMerge w:val="restart"/>
            <w:shd w:val="clear" w:color="000000" w:fill="FFFFFF"/>
            <w:vAlign w:val="center"/>
            <w:hideMark/>
          </w:tcPr>
          <w:p w14:paraId="172662AC" w14:textId="77777777" w:rsidR="004B3C5E" w:rsidRPr="004B3C5E" w:rsidRDefault="004B3C5E" w:rsidP="00E61E52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0-10</w:t>
            </w: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36A42B30" w14:textId="4217970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B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项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收入数据以校平台记录为准。</w:t>
            </w:r>
          </w:p>
        </w:tc>
      </w:tr>
      <w:tr w:rsidR="004B3C5E" w:rsidRPr="004B3C5E" w14:paraId="3D8A20BF" w14:textId="77777777" w:rsidTr="004B3C5E">
        <w:trPr>
          <w:trHeight w:val="600"/>
        </w:trPr>
        <w:tc>
          <w:tcPr>
            <w:tcW w:w="960" w:type="dxa"/>
            <w:vMerge/>
            <w:vAlign w:val="center"/>
            <w:hideMark/>
          </w:tcPr>
          <w:p w14:paraId="1B331121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1124EE44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50D560EC" w14:textId="197FA6A5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 xml:space="preserve">B. </w:t>
            </w:r>
            <w:r w:rsidRPr="004B3C5E">
              <w:rPr>
                <w:rFonts w:ascii="宋体" w:hAnsi="宋体" w:cs="Segoe UI" w:hint="eastAsia"/>
                <w:b/>
                <w:bCs/>
                <w:color w:val="0F1115"/>
                <w:kern w:val="0"/>
                <w:sz w:val="18"/>
                <w:szCs w:val="18"/>
              </w:rPr>
              <w:t>收入增长与结构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（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4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分）：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平台收入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较上年有增长，且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对外服务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校外服务收入占比高，得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4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分；收入持平或结构单一，得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2-3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分；收入下降明显，得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0-1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分。</w:t>
            </w:r>
          </w:p>
        </w:tc>
        <w:tc>
          <w:tcPr>
            <w:tcW w:w="1480" w:type="dxa"/>
            <w:vMerge/>
            <w:vAlign w:val="center"/>
            <w:hideMark/>
          </w:tcPr>
          <w:p w14:paraId="24F41CBF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43FF8B27" w14:textId="59214316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bookmarkStart w:id="3" w:name="OLE_LINK9"/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B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项</w:t>
            </w:r>
            <w:bookmarkEnd w:id="3"/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收入数据以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平台收入、及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附件2</w:t>
            </w:r>
            <w:r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填报的服务记录为准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。</w:t>
            </w:r>
          </w:p>
        </w:tc>
      </w:tr>
      <w:tr w:rsidR="004B3C5E" w:rsidRPr="004B3C5E" w14:paraId="2F968FED" w14:textId="77777777" w:rsidTr="004B3C5E">
        <w:trPr>
          <w:trHeight w:val="600"/>
        </w:trPr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14:paraId="77172776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362415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5</w:t>
            </w:r>
          </w:p>
        </w:tc>
        <w:tc>
          <w:tcPr>
            <w:tcW w:w="1420" w:type="dxa"/>
            <w:vMerge w:val="restart"/>
            <w:shd w:val="clear" w:color="000000" w:fill="FFFFFF"/>
            <w:vAlign w:val="center"/>
            <w:hideMark/>
          </w:tcPr>
          <w:p w14:paraId="4E51BF2B" w14:textId="07E0E3AE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开放共享案例（15分）</w:t>
            </w: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311FC4A4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 xml:space="preserve">A. </w:t>
            </w:r>
            <w:r w:rsidRPr="004B3C5E">
              <w:rPr>
                <w:rFonts w:ascii="宋体" w:hAnsi="宋体" w:cs="Segoe UI" w:hint="eastAsia"/>
                <w:b/>
                <w:bCs/>
                <w:color w:val="0F1115"/>
                <w:kern w:val="0"/>
                <w:sz w:val="18"/>
                <w:szCs w:val="18"/>
              </w:rPr>
              <w:t>案例质量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（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10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分）：案例典型、成效显著（高水平论文、专利、重大成果转化、显著经济社会效益），得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8-10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分；成效较好，得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5-7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分；成效一般，得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0-4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分。</w:t>
            </w:r>
          </w:p>
        </w:tc>
        <w:tc>
          <w:tcPr>
            <w:tcW w:w="1480" w:type="dxa"/>
            <w:vMerge w:val="restart"/>
            <w:shd w:val="clear" w:color="000000" w:fill="FFFFFF"/>
            <w:vAlign w:val="center"/>
            <w:hideMark/>
          </w:tcPr>
          <w:p w14:paraId="2AC79043" w14:textId="77777777" w:rsidR="004B3C5E" w:rsidRPr="004B3C5E" w:rsidRDefault="004B3C5E" w:rsidP="00E61E52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0-15</w:t>
            </w:r>
          </w:p>
        </w:tc>
        <w:tc>
          <w:tcPr>
            <w:tcW w:w="3760" w:type="dxa"/>
            <w:vMerge w:val="restart"/>
            <w:shd w:val="clear" w:color="000000" w:fill="FFFFFF"/>
            <w:vAlign w:val="center"/>
            <w:hideMark/>
          </w:tcPr>
          <w:p w14:paraId="44F61529" w14:textId="58032835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 xml:space="preserve"> 依据附件3材料评分。</w:t>
            </w:r>
          </w:p>
        </w:tc>
      </w:tr>
      <w:tr w:rsidR="004B3C5E" w:rsidRPr="004B3C5E" w14:paraId="0DE30105" w14:textId="77777777" w:rsidTr="004B3C5E">
        <w:trPr>
          <w:trHeight w:val="600"/>
        </w:trPr>
        <w:tc>
          <w:tcPr>
            <w:tcW w:w="960" w:type="dxa"/>
            <w:vMerge/>
            <w:vAlign w:val="center"/>
            <w:hideMark/>
          </w:tcPr>
          <w:p w14:paraId="3E1C3C42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5C407C8D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30F71F7D" w14:textId="42D09C26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 xml:space="preserve">B. </w:t>
            </w:r>
            <w:r w:rsidRPr="004B3C5E">
              <w:rPr>
                <w:rFonts w:ascii="宋体" w:hAnsi="宋体" w:cs="Segoe UI" w:hint="eastAsia"/>
                <w:b/>
                <w:bCs/>
                <w:color w:val="0F1115"/>
                <w:kern w:val="0"/>
                <w:sz w:val="18"/>
                <w:szCs w:val="18"/>
              </w:rPr>
              <w:t>案例数量与覆盖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（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5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分）：报送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2-3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个高质量案例，覆盖不同服务类型（如</w:t>
            </w:r>
            <w:r w:rsidR="001851F3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科技创新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、</w:t>
            </w:r>
            <w:r w:rsidR="001851F3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地方服务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、</w:t>
            </w:r>
            <w:r w:rsidR="001851F3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人才培养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），得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5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分；仅有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1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个案例或类型单一，得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3-4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分；未报送，得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</w:t>
            </w:r>
            <w:r w:rsidRPr="004B3C5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分。</w:t>
            </w:r>
          </w:p>
        </w:tc>
        <w:tc>
          <w:tcPr>
            <w:tcW w:w="1480" w:type="dxa"/>
            <w:vMerge/>
            <w:vAlign w:val="center"/>
            <w:hideMark/>
          </w:tcPr>
          <w:p w14:paraId="137FD854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vMerge/>
            <w:shd w:val="clear" w:color="000000" w:fill="FFFFFF"/>
            <w:vAlign w:val="center"/>
          </w:tcPr>
          <w:p w14:paraId="2A9AC0CB" w14:textId="2E462FA8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</w:tr>
      <w:tr w:rsidR="004B3C5E" w:rsidRPr="004B3C5E" w14:paraId="1684AA7A" w14:textId="77777777" w:rsidTr="004B3C5E">
        <w:trPr>
          <w:trHeight w:val="600"/>
        </w:trPr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14:paraId="58AAC50D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362415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6</w:t>
            </w:r>
          </w:p>
        </w:tc>
        <w:tc>
          <w:tcPr>
            <w:tcW w:w="1420" w:type="dxa"/>
            <w:vMerge w:val="restart"/>
            <w:shd w:val="clear" w:color="000000" w:fill="FFFFFF"/>
            <w:vAlign w:val="center"/>
            <w:hideMark/>
          </w:tcPr>
          <w:p w14:paraId="2A567252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开放共享组织管理工作（10分）</w:t>
            </w: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516C6B29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A. 日常管理规范性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（5分）：制度健全、预约有序、档案完整、安全达标、数据报送及时准确，得5分；存在不足，视情况扣分。</w:t>
            </w:r>
          </w:p>
        </w:tc>
        <w:tc>
          <w:tcPr>
            <w:tcW w:w="1480" w:type="dxa"/>
            <w:vMerge w:val="restart"/>
            <w:shd w:val="clear" w:color="000000" w:fill="FFFFFF"/>
            <w:vAlign w:val="center"/>
            <w:hideMark/>
          </w:tcPr>
          <w:p w14:paraId="4757E6A6" w14:textId="77777777" w:rsidR="004B3C5E" w:rsidRPr="004B3C5E" w:rsidRDefault="004B3C5E" w:rsidP="00E61E52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0-10</w:t>
            </w:r>
          </w:p>
        </w:tc>
        <w:tc>
          <w:tcPr>
            <w:tcW w:w="3760" w:type="dxa"/>
            <w:vMerge w:val="restart"/>
            <w:shd w:val="clear" w:color="000000" w:fill="FFFFFF"/>
            <w:vAlign w:val="center"/>
            <w:hideMark/>
          </w:tcPr>
          <w:p w14:paraId="12385795" w14:textId="1198761A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结合日常</w:t>
            </w:r>
            <w:r w:rsidR="000039DE">
              <w:rPr>
                <w:rFonts w:ascii="宋体" w:hAnsi="宋体" w:cs="Segoe UI" w:hint="eastAsia"/>
                <w:color w:val="0F1115"/>
                <w:kern w:val="0"/>
                <w:sz w:val="18"/>
                <w:szCs w:val="18"/>
              </w:rPr>
              <w:t>工作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及现场PPT汇报综合评议。</w:t>
            </w:r>
          </w:p>
        </w:tc>
      </w:tr>
      <w:tr w:rsidR="004B3C5E" w:rsidRPr="004B3C5E" w14:paraId="23874A02" w14:textId="77777777" w:rsidTr="004B3C5E">
        <w:trPr>
          <w:trHeight w:val="600"/>
        </w:trPr>
        <w:tc>
          <w:tcPr>
            <w:tcW w:w="960" w:type="dxa"/>
            <w:vMerge/>
            <w:vAlign w:val="center"/>
            <w:hideMark/>
          </w:tcPr>
          <w:p w14:paraId="7A8CB866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038B1619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09DB6612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B. 特色与创新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（5分）：在激励机组、拓展服务、功能开发、校企合作、教学融合等方面有突出亮点或创新举措，得4-5分；有常规工作无亮点，得2-3分；管理松散，得0-1分。</w:t>
            </w:r>
          </w:p>
        </w:tc>
        <w:tc>
          <w:tcPr>
            <w:tcW w:w="1480" w:type="dxa"/>
            <w:vMerge/>
            <w:vAlign w:val="center"/>
            <w:hideMark/>
          </w:tcPr>
          <w:p w14:paraId="40E781BA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vMerge/>
            <w:shd w:val="clear" w:color="000000" w:fill="FFFFFF"/>
            <w:vAlign w:val="center"/>
            <w:hideMark/>
          </w:tcPr>
          <w:p w14:paraId="0C689776" w14:textId="0ECB79D4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</w:tr>
      <w:tr w:rsidR="004B3C5E" w:rsidRPr="004B3C5E" w14:paraId="454A5FF2" w14:textId="77777777" w:rsidTr="004B3C5E">
        <w:trPr>
          <w:trHeight w:val="600"/>
        </w:trPr>
        <w:tc>
          <w:tcPr>
            <w:tcW w:w="960" w:type="dxa"/>
            <w:vMerge w:val="restart"/>
            <w:shd w:val="clear" w:color="000000" w:fill="FFFFFF"/>
            <w:vAlign w:val="center"/>
            <w:hideMark/>
          </w:tcPr>
          <w:p w14:paraId="182EF4CA" w14:textId="77777777" w:rsidR="004B3C5E" w:rsidRPr="00362415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362415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7</w:t>
            </w:r>
          </w:p>
        </w:tc>
        <w:tc>
          <w:tcPr>
            <w:tcW w:w="1420" w:type="dxa"/>
            <w:vMerge w:val="restart"/>
            <w:shd w:val="clear" w:color="000000" w:fill="FFFFFF"/>
            <w:vAlign w:val="center"/>
            <w:hideMark/>
          </w:tcPr>
          <w:p w14:paraId="5C71967D" w14:textId="77777777" w:rsidR="004B3C5E" w:rsidRPr="004B3C5E" w:rsidRDefault="004B3C5E" w:rsidP="00362415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开放共享服务满意度与运行经费执行情况（10分）</w:t>
            </w: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0CA72097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A. 投诉反馈（5分）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：全年无任何有效投诉得5分；有一般投诉经核实，每起扣1分；有重大责任投诉，每起扣3分；扣完为止。</w:t>
            </w:r>
          </w:p>
        </w:tc>
        <w:tc>
          <w:tcPr>
            <w:tcW w:w="1480" w:type="dxa"/>
            <w:vMerge w:val="restart"/>
            <w:shd w:val="clear" w:color="000000" w:fill="FFFFFF"/>
            <w:vAlign w:val="center"/>
            <w:hideMark/>
          </w:tcPr>
          <w:p w14:paraId="0299F8E8" w14:textId="77777777" w:rsidR="004B3C5E" w:rsidRPr="004B3C5E" w:rsidRDefault="004B3C5E" w:rsidP="00E61E52">
            <w:pPr>
              <w:widowControl/>
              <w:jc w:val="center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0-10</w:t>
            </w: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67EE8AA9" w14:textId="20F77832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A项以学校接到的有效投诉记录为准。</w:t>
            </w:r>
          </w:p>
        </w:tc>
      </w:tr>
      <w:tr w:rsidR="004B3C5E" w:rsidRPr="004B3C5E" w14:paraId="30E6D78E" w14:textId="77777777" w:rsidTr="004B3C5E">
        <w:trPr>
          <w:trHeight w:val="600"/>
        </w:trPr>
        <w:tc>
          <w:tcPr>
            <w:tcW w:w="960" w:type="dxa"/>
            <w:vMerge/>
            <w:vAlign w:val="center"/>
            <w:hideMark/>
          </w:tcPr>
          <w:p w14:paraId="514F9CA2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vMerge/>
            <w:vAlign w:val="center"/>
            <w:hideMark/>
          </w:tcPr>
          <w:p w14:paraId="7638C4E5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5160" w:type="dxa"/>
            <w:shd w:val="clear" w:color="000000" w:fill="FFFFFF"/>
            <w:vAlign w:val="center"/>
            <w:hideMark/>
          </w:tcPr>
          <w:p w14:paraId="7AE6816B" w14:textId="3C250C8C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b/>
                <w:bCs/>
                <w:color w:val="0F1115"/>
                <w:kern w:val="0"/>
                <w:sz w:val="18"/>
                <w:szCs w:val="18"/>
              </w:rPr>
              <w:t>B. 运行经费执行情况（5分）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：年度运行经费执行率≥90%，且使用规范、效益显著，得5分；执行率70%-89%，得3-4分；执行率＜70%，得0-2分。</w:t>
            </w:r>
          </w:p>
        </w:tc>
        <w:tc>
          <w:tcPr>
            <w:tcW w:w="1480" w:type="dxa"/>
            <w:vMerge/>
            <w:vAlign w:val="center"/>
            <w:hideMark/>
          </w:tcPr>
          <w:p w14:paraId="77FFEC5D" w14:textId="77777777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</w:p>
        </w:tc>
        <w:tc>
          <w:tcPr>
            <w:tcW w:w="3760" w:type="dxa"/>
            <w:shd w:val="clear" w:color="000000" w:fill="FFFFFF"/>
            <w:vAlign w:val="center"/>
            <w:hideMark/>
          </w:tcPr>
          <w:p w14:paraId="301BADC9" w14:textId="50CAEB35" w:rsidR="004B3C5E" w:rsidRPr="004B3C5E" w:rsidRDefault="004B3C5E" w:rsidP="00E61E52">
            <w:pPr>
              <w:widowControl/>
              <w:jc w:val="left"/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</w:pP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B项“运行经费执行情况”指学校下拨大仪</w:t>
            </w:r>
            <w:r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中心运行费</w:t>
            </w:r>
            <w:r w:rsidRPr="004B3C5E">
              <w:rPr>
                <w:rFonts w:ascii="宋体" w:hAnsi="宋体" w:cs="Segoe UI"/>
                <w:color w:val="0F1115"/>
                <w:kern w:val="0"/>
                <w:sz w:val="18"/>
                <w:szCs w:val="18"/>
              </w:rPr>
              <w:t>。执行率=实际支出/预算经费×100%。</w:t>
            </w:r>
          </w:p>
        </w:tc>
      </w:tr>
    </w:tbl>
    <w:p w14:paraId="5C43DAF3" w14:textId="77777777" w:rsidR="004B3C5E" w:rsidRPr="004B3C5E" w:rsidRDefault="004B3C5E"/>
    <w:sectPr w:rsidR="004B3C5E" w:rsidRPr="004B3C5E" w:rsidSect="004B3C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CF9FD" w14:textId="77777777" w:rsidR="000F3B5F" w:rsidRDefault="000F3B5F" w:rsidP="001851F3">
      <w:r>
        <w:separator/>
      </w:r>
    </w:p>
  </w:endnote>
  <w:endnote w:type="continuationSeparator" w:id="0">
    <w:p w14:paraId="114AA2C0" w14:textId="77777777" w:rsidR="000F3B5F" w:rsidRDefault="000F3B5F" w:rsidP="00185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FB14" w14:textId="77777777" w:rsidR="000F3B5F" w:rsidRDefault="000F3B5F" w:rsidP="001851F3">
      <w:r>
        <w:separator/>
      </w:r>
    </w:p>
  </w:footnote>
  <w:footnote w:type="continuationSeparator" w:id="0">
    <w:p w14:paraId="07371C90" w14:textId="77777777" w:rsidR="000F3B5F" w:rsidRDefault="000F3B5F" w:rsidP="00185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5E"/>
    <w:rsid w:val="000039DE"/>
    <w:rsid w:val="000F3B5F"/>
    <w:rsid w:val="001851F3"/>
    <w:rsid w:val="00362415"/>
    <w:rsid w:val="004B3C5E"/>
    <w:rsid w:val="009861BC"/>
    <w:rsid w:val="00D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8A479"/>
  <w15:chartTrackingRefBased/>
  <w15:docId w15:val="{C70F7150-3AEC-4A97-A077-D2DD3CDD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51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51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51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6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文青青</dc:creator>
  <cp:keywords/>
  <dc:description/>
  <cp:lastModifiedBy>文青青</cp:lastModifiedBy>
  <cp:revision>3</cp:revision>
  <dcterms:created xsi:type="dcterms:W3CDTF">2026-01-29T08:16:00Z</dcterms:created>
  <dcterms:modified xsi:type="dcterms:W3CDTF">2026-03-04T02:16:00Z</dcterms:modified>
</cp:coreProperties>
</file>